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Microsoft YaHei" w:cs="Microsoft YaHei" w:eastAsia="Microsoft YaHei" w:hAnsi="Microsoft YaHei"/>
          <w:b/>
          <w:bCs/>
          <w:sz w:val="36"/>
          <w:szCs w:val="36"/>
        </w:rPr>
        <w:t xml:space="preserve">GB 46520-2025 与 GB 8624-2025 区别分析</w:t>
      </w:r>
    </w:p>
    <w:p>
      <w:pPr>
        <w:spacing w:after="260"/>
        <w:jc w:val="center"/>
      </w:pPr>
      <w:r>
        <w:rPr>
          <w:rFonts w:ascii="Microsoft YaHei" w:cs="Microsoft YaHei" w:eastAsia="Microsoft YaHei" w:hAnsi="Microsoft YaHei"/>
          <w:color w:val="666666"/>
          <w:sz w:val="20"/>
          <w:szCs w:val="20"/>
        </w:rPr>
        <w:t xml:space="preserve">无机质碳酸钙发泡板合规适用参考（内部资料）</w:t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一、两标准基本信息对照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200"/>
      </w:tblGrid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对比维度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GB 8624-2025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GB 46520-2025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标准名称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建筑材料及制品燃烧性能分级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建筑用绝热材料及制品燃烧性能安全技术规范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标准性质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强制性国家标准（通用基础）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强制性国家标准（安全专项）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发布日期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2025-12-31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2025-10-05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实施日期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2027-01-01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2026-08-01（已实施）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主编 / 归口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应急管理部四川消防研究所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工业和信息化部（全国绝热材料标委会）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核心功能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规定燃烧性能“怎么分、怎么测”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规定绝热材料“必须达到哪一级”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适用范围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建筑材料及制品、装饰材料、设备器件非金属材料（含光伏组件、屋面材料）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建筑墙体、屋面、地面保温用绝热材料及制品</w:t>
            </w:r>
          </w:p>
        </w:tc>
      </w:tr>
      <w:t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与保温材料关系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提供分级判定与等级表述依据</w:t>
            </w:r>
          </w:p>
        </w:tc>
        <w:tc>
          <w:tcPr>
            <w:tcW w:type="dxa" w:w="3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规定不同材料最低燃烧等级门槛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二、核心定位区别：分级方法 vs 准入门槛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两者是“配套而非替代”的关系。GB 8624-2025 是建筑防火的通用基础标准，解决所有建筑材料燃烧性能“如何分级、如何测试”的问题，是行业统一的“分级语言”；GB 46520-2025 是在该分级体系之上，专门针对建筑保温绝热材料设定的“准入门槛”，明确有机、无机、复合材料分别必须达到的最低燃烧等级，并加严产烟、滴落、毒性要求。简单说：8624 管“怎么评”，46520 管“必须过哪条线”。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对生产企业而言，8624 决定你能在检测报告上写什么等级；46520 决定你的产品能不能进入建筑保温市场。</w:t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三、适用范围区别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GB 8624-2025 覆盖全品类建筑材料及制品（含装饰材料、设备器件用非金属材料，并新增光伏组件、屋顶覆盖材料），是跨材料的通用标准。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GB 46520-2025 仅针对建筑保温绝热材料，明确适用范围为墙体、屋面、地面保温用绝热材料及制品，不涵盖风管、不涵盖装饰材料。</w:t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四、技术维度区别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00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技术维度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GB 8624-2025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GB 46520-2025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分级体系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A（A1/A2）、B1、B2、B3 四级；新增建筑保温材料专属三维九类分类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在 8624 分级基础上，按有机/无机/复合分类规定最低等级门槛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四维评价（s/d/t）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将产烟 s、滴落 d、毒性 t 纳入分级必要组成，B1 级需带完整附加项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强制要求绝热材料满足产烟、滴落、毒性附加等级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标识与追溯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提出保温材料加施二维码/电子标签以促追溯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明确绝热材料标识须含名称、燃烧等级、生产单位等，落地“码上溯源”</w:t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试验方法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引用 24 个方法标准，新增电焊火花法、燃烧与保温性能同步测试</w:t>
            </w:r>
          </w:p>
        </w:tc>
        <w:tc>
          <w:tcPr>
            <w:tcW w:type="dxa" w:w="34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sz w:val="20"/>
                <w:szCs w:val="20"/>
              </w:rPr>
              <w:t xml:space="preserve">引用 8624 及配套燃烧试验，强调试验状态与实际应用一致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五、实施时间与过渡期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GB 8624-2025：2027-01-01 实施，距发布约一年过渡期，企业有较充足时间切换新版分级与报告表述。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GB 46520-2025：2026-08-01 实施（即本查询日）；标准设 10 个月过渡期，2026-08-01 前可按旧标准或新标准生产，之后所有建筑用绝热材料及制品须符合新标准要求。</w:t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六、与无机质碳酸钙发泡板的关联（重点）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作为绝热/保温材料：发泡板属无机类绝热材料，受 GB 46520-2025 约束，须满足该标准规定的最低燃烧等级门槛；其燃烧等级仍按 GB 8624-2025 判定与表述。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作为风管板材：GB 46520-2025 适用范围不含风管，切忌套用。发泡板用于风管时的合规依据为 GB 8624-2025（燃烧分级）+ JG/T 258-2018（非金属及复合风管）+ GB 50243（通风与空调工程施工质量验收规范）。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对外表述口径：一律采用“本板为 B1/A2 级材料”，不自标“非 A 级不燃”；2027 年起送检报告应按新版四维表述（如 B1-s1,d0,t1）准备，避免验收时等级表述不完整。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供应链背书：江苏真的旺（发泡板供应链企业）为 GB 46520-2025 起草单位之一，可在合规沟通中作为质量与标准参与度的背书素材。</w:t>
      </w:r>
    </w:p>
    <w:p>
      <w:pPr>
        <w:spacing w:after="120" w:before="220"/>
      </w:pPr>
      <w:r>
        <w:rPr>
          <w:rFonts w:ascii="Microsoft YaHei" w:cs="Microsoft YaHei" w:eastAsia="Microsoft YaHei" w:hAnsi="Microsoft YaHei"/>
          <w:b/>
          <w:bCs/>
          <w:color w:val="2E5496"/>
          <w:sz w:val="26"/>
          <w:szCs w:val="26"/>
        </w:rPr>
        <w:t xml:space="preserve">七、对业务与销售的行动建议</w:t>
      </w:r>
    </w:p>
    <w:p>
      <w:pPr>
        <w:spacing w:after="60"/>
        <w:ind w:left="3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•  即日起按 GB 46520-2025 自查产品标识与燃烧等级，确保 2026-08-01 后完全合规。</w:t>
      </w:r>
    </w:p>
    <w:p>
      <w:pPr>
        <w:spacing w:after="60"/>
        <w:ind w:left="3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•  风管项目资料仍以 GB 8624-2025 + JG/T 258-2018 + GB 50243 为依据，不套用 46520 的保温材料门槛。</w:t>
      </w:r>
    </w:p>
    <w:p>
      <w:pPr>
        <w:spacing w:after="60"/>
        <w:ind w:left="3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•  提前规划按 GB 8624-2025 新版四维评价送检，规避 2027 年验收表述缺口。</w:t>
      </w:r>
    </w:p>
    <w:p>
      <w:pPr>
        <w:spacing w:after="60"/>
        <w:ind w:left="3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•  借 XPS/EPS/夹芯板 2026-07-01 提标，强化无机板“本质不燃基材、不添加阻燃剂”的差异化话术。</w:t>
      </w:r>
    </w:p>
    <w:p>
      <w:pPr>
        <w:spacing w:after="60"/>
        <w:ind w:left="360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•  利用江苏真的旺参与起草的背书，增强设计院与客户对合规性的信任。</w:t>
      </w:r>
    </w:p>
    <w:p>
      <w:pPr>
        <w:spacing w:after="100"/>
        <w:jc w:val="both"/>
      </w:pPr>
      <w:r>
        <w:rPr>
          <w:rFonts w:ascii="Microsoft YaHei" w:cs="Microsoft YaHei" w:eastAsia="Microsoft YaHei" w:hAnsi="Microsoft YaHei"/>
          <w:sz w:val="21"/>
          <w:szCs w:val="21"/>
        </w:rPr>
        <w:t xml:space="preserve">（内部合规参考，依据公开标准文本与宣贯资料整理，不构成第三方检测或技术保证。）</w:t>
      </w:r>
    </w:p>
    <w:sectPr>
      <w:pgSz w:w="11906" w:h="16838" w:orient="portrait"/>
      <w:pgMar w:top="1440" w:right="1200" w:bottom="144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2026-08-01T00:52:40.431Z</dcterms:created>
  <dcterms:modified xsi:type="dcterms:W3CDTF">2026-08-01T00:52:40.438Z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